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26E21DDA" w:rsidR="004C67E0" w:rsidRPr="00FD5FF6"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D7564E">
        <w:rPr>
          <w:rFonts w:ascii="Arial" w:hAnsi="Arial" w:cs="Arial" w:hint="eastAsia"/>
          <w:b/>
          <w:bCs/>
          <w:sz w:val="24"/>
          <w:szCs w:val="24"/>
          <w:lang w:eastAsia="ja-JP"/>
        </w:rPr>
        <w:t>6</w:t>
      </w:r>
      <w:r w:rsidR="003C6770">
        <w:tab/>
      </w:r>
      <w:r w:rsidR="00FD5FF6" w:rsidRPr="002C5C61">
        <w:rPr>
          <w:rFonts w:ascii="Arial" w:hAnsi="Arial" w:cs="Arial"/>
          <w:b/>
          <w:bCs/>
          <w:color w:val="000000" w:themeColor="text1"/>
          <w:sz w:val="24"/>
          <w:szCs w:val="24"/>
          <w:lang w:eastAsia="ja-JP"/>
        </w:rPr>
        <w:t>R4-25</w:t>
      </w:r>
      <w:r w:rsidR="002C5C61" w:rsidRPr="002C5C61">
        <w:rPr>
          <w:rFonts w:ascii="Arial" w:hAnsi="Arial" w:cs="Arial" w:hint="eastAsia"/>
          <w:b/>
          <w:bCs/>
          <w:color w:val="000000" w:themeColor="text1"/>
          <w:sz w:val="24"/>
          <w:szCs w:val="24"/>
          <w:lang w:eastAsia="ja-JP"/>
        </w:rPr>
        <w:t>10707</w:t>
      </w:r>
    </w:p>
    <w:p w14:paraId="5F5E0FF5" w14:textId="5723F76E" w:rsidR="006E0C01" w:rsidRDefault="00D7564E" w:rsidP="007309B7">
      <w:pPr>
        <w:tabs>
          <w:tab w:val="left" w:pos="1985"/>
        </w:tabs>
        <w:jc w:val="both"/>
        <w:rPr>
          <w:rFonts w:ascii="Arial" w:eastAsiaTheme="minorEastAsia" w:hAnsi="Arial" w:cs="Arial"/>
          <w:b/>
          <w:sz w:val="24"/>
          <w:szCs w:val="24"/>
          <w:lang w:eastAsia="ja-JP"/>
        </w:rPr>
      </w:pPr>
      <w:r w:rsidRPr="00D7564E">
        <w:rPr>
          <w:rFonts w:ascii="Arial" w:eastAsiaTheme="minorEastAsia" w:hAnsi="Arial" w:cs="Arial"/>
          <w:b/>
          <w:sz w:val="24"/>
          <w:szCs w:val="24"/>
          <w:lang w:eastAsia="ja-JP"/>
        </w:rPr>
        <w:t>Bengaluru</w:t>
      </w:r>
      <w:r>
        <w:rPr>
          <w:rFonts w:ascii="Arial" w:eastAsiaTheme="minorEastAsia" w:hAnsi="Arial" w:cs="Arial" w:hint="eastAsia"/>
          <w:b/>
          <w:sz w:val="24"/>
          <w:szCs w:val="24"/>
          <w:lang w:eastAsia="ja-JP"/>
        </w:rPr>
        <w:t>, India</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25</w:t>
      </w:r>
      <w:r w:rsidR="006E0C01" w:rsidRPr="006E0C01">
        <w:rPr>
          <w:rFonts w:ascii="Arial" w:eastAsia="SimSun" w:hAnsi="Arial" w:cs="Arial"/>
          <w:b/>
          <w:sz w:val="24"/>
          <w:szCs w:val="24"/>
          <w:lang w:eastAsia="zh-CN"/>
        </w:rPr>
        <w:t xml:space="preserve">th – </w:t>
      </w:r>
      <w:r w:rsidR="00F67594">
        <w:rPr>
          <w:rFonts w:ascii="Arial" w:eastAsiaTheme="minorEastAsia" w:hAnsi="Arial" w:cs="Arial" w:hint="eastAsia"/>
          <w:b/>
          <w:sz w:val="24"/>
          <w:szCs w:val="24"/>
          <w:lang w:eastAsia="ja-JP"/>
        </w:rPr>
        <w:t>2</w:t>
      </w:r>
      <w:r>
        <w:rPr>
          <w:rFonts w:ascii="Arial" w:eastAsiaTheme="minorEastAsia" w:hAnsi="Arial" w:cs="Arial" w:hint="eastAsia"/>
          <w:b/>
          <w:sz w:val="24"/>
          <w:szCs w:val="24"/>
          <w:lang w:eastAsia="ja-JP"/>
        </w:rPr>
        <w:t>9th</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August</w:t>
      </w:r>
      <w:r w:rsidR="006E0C01" w:rsidRPr="006E0C01">
        <w:rPr>
          <w:rFonts w:ascii="Arial" w:eastAsia="SimSun" w:hAnsi="Arial" w:cs="Arial"/>
          <w:b/>
          <w:sz w:val="24"/>
          <w:szCs w:val="24"/>
          <w:lang w:eastAsia="zh-CN"/>
        </w:rPr>
        <w:t xml:space="preserve"> 2025</w:t>
      </w:r>
    </w:p>
    <w:p w14:paraId="5C98555D" w14:textId="2182B493"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FD65B1">
        <w:rPr>
          <w:rFonts w:ascii="Arial" w:hAnsi="Arial" w:hint="eastAsia"/>
          <w:sz w:val="24"/>
          <w:szCs w:val="24"/>
          <w:lang w:val="en-US" w:eastAsia="ja-JP"/>
        </w:rPr>
        <w:t>19</w:t>
      </w:r>
      <w:r w:rsidR="006E0C01">
        <w:rPr>
          <w:rFonts w:ascii="Arial" w:hAnsi="Arial" w:hint="eastAsia"/>
          <w:sz w:val="24"/>
          <w:szCs w:val="24"/>
          <w:lang w:val="en-US" w:eastAsia="ja-JP"/>
        </w:rPr>
        <w:t>.</w:t>
      </w:r>
      <w:r w:rsidR="006E0C01" w:rsidRPr="00FD5FF6">
        <w:rPr>
          <w:rFonts w:ascii="Arial" w:hAnsi="Arial" w:hint="eastAsia"/>
          <w:color w:val="000000" w:themeColor="text1"/>
          <w:sz w:val="24"/>
          <w:szCs w:val="24"/>
          <w:lang w:val="en-US" w:eastAsia="ja-JP"/>
        </w:rPr>
        <w:t>3</w:t>
      </w:r>
      <w:r w:rsidR="0056472C" w:rsidRPr="00FD5FF6">
        <w:rPr>
          <w:rFonts w:ascii="Arial" w:hAnsi="Arial" w:hint="eastAsia"/>
          <w:color w:val="000000" w:themeColor="text1"/>
          <w:sz w:val="24"/>
          <w:szCs w:val="24"/>
          <w:lang w:val="en-US" w:eastAsia="ja-JP"/>
        </w:rPr>
        <w:t>.2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173773F"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5F102C" w:rsidRPr="005F102C">
        <w:rPr>
          <w:rFonts w:ascii="Arial" w:hAnsi="Arial"/>
          <w:sz w:val="24"/>
          <w:szCs w:val="24"/>
          <w:lang w:val="en-US" w:eastAsia="ja-JP"/>
        </w:rPr>
        <w:t>Discussions on requirements for measurement event prediction on AIML mobility</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542ED910" w:rsidR="00615FE7" w:rsidRPr="00833897" w:rsidRDefault="00094FB9" w:rsidP="007309B7">
      <w:pPr>
        <w:jc w:val="both"/>
        <w:rPr>
          <w:lang w:eastAsia="ja-JP"/>
        </w:rPr>
      </w:pPr>
      <w:bookmarkStart w:id="1" w:name="_Hlk149842433"/>
      <w:r w:rsidRPr="00A82737">
        <w:rPr>
          <w:lang w:eastAsia="ja-JP"/>
        </w:rPr>
        <w:t xml:space="preserve">The </w:t>
      </w:r>
      <w:r>
        <w:rPr>
          <w:rFonts w:hint="eastAsia"/>
          <w:lang w:eastAsia="ja-JP"/>
        </w:rPr>
        <w:t>S</w:t>
      </w:r>
      <w:r w:rsidRPr="00A82737">
        <w:rPr>
          <w:lang w:eastAsia="ja-JP"/>
        </w:rPr>
        <w:t>I was revised at RAN#10</w:t>
      </w:r>
      <w:r>
        <w:rPr>
          <w:rFonts w:hint="eastAsia"/>
          <w:lang w:eastAsia="ja-JP"/>
        </w:rPr>
        <w:t>5</w:t>
      </w:r>
      <w:r w:rsidRPr="00A82737">
        <w:rPr>
          <w:lang w:eastAsia="ja-JP"/>
        </w:rPr>
        <w:t>[1] and WF was approved at RAN4#11</w:t>
      </w:r>
      <w:r w:rsidR="00064ECC">
        <w:rPr>
          <w:rFonts w:hint="eastAsia"/>
          <w:lang w:eastAsia="ja-JP"/>
        </w:rPr>
        <w:t>5</w:t>
      </w:r>
      <w:r w:rsidRPr="00A82737">
        <w:rPr>
          <w:lang w:eastAsia="ja-JP"/>
        </w:rPr>
        <w:t xml:space="preserve"> [2]. In this contribution, we further discuss the remaining requirements for </w:t>
      </w:r>
      <w:r w:rsidRPr="005D48D9">
        <w:rPr>
          <w:lang w:eastAsia="ja-JP"/>
        </w:rPr>
        <w:t xml:space="preserve">RRM measurement </w:t>
      </w:r>
      <w:r>
        <w:rPr>
          <w:rFonts w:hint="eastAsia"/>
          <w:lang w:eastAsia="ja-JP"/>
        </w:rPr>
        <w:t xml:space="preserve">event </w:t>
      </w:r>
      <w:r w:rsidRPr="005D48D9">
        <w:rPr>
          <w:lang w:eastAsia="ja-JP"/>
        </w:rPr>
        <w:t>prediction on AIML mobility</w:t>
      </w:r>
      <w:r w:rsidRPr="00A82737">
        <w:rPr>
          <w:lang w:eastAsia="ja-JP"/>
        </w:rPr>
        <w:t>.</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48D87292" w14:textId="465892DB" w:rsidR="006E0C01" w:rsidRDefault="006E0C01" w:rsidP="006E0C01">
      <w:pPr>
        <w:rPr>
          <w:lang w:eastAsia="ja-JP"/>
        </w:rPr>
      </w:pPr>
      <w:r>
        <w:rPr>
          <w:rFonts w:hint="eastAsia"/>
          <w:lang w:eastAsia="ja-JP"/>
        </w:rPr>
        <w:t xml:space="preserve">According to the latest </w:t>
      </w:r>
      <w:r w:rsidR="00837B87">
        <w:rPr>
          <w:rFonts w:hint="eastAsia"/>
          <w:lang w:eastAsia="ja-JP"/>
        </w:rPr>
        <w:t>WF</w:t>
      </w:r>
      <w:r w:rsidR="004409F6">
        <w:rPr>
          <w:rFonts w:hint="eastAsia"/>
          <w:lang w:eastAsia="ja-JP"/>
        </w:rPr>
        <w:t xml:space="preserve"> [2]</w:t>
      </w:r>
      <w:r>
        <w:rPr>
          <w:rFonts w:hint="eastAsia"/>
          <w:lang w:eastAsia="ja-JP"/>
        </w:rPr>
        <w:t xml:space="preserve">, the </w:t>
      </w:r>
      <w:r w:rsidR="00F367D7">
        <w:rPr>
          <w:rFonts w:hint="eastAsia"/>
          <w:lang w:eastAsia="ja-JP"/>
        </w:rPr>
        <w:t>open issues</w:t>
      </w:r>
      <w:r>
        <w:rPr>
          <w:rFonts w:hint="eastAsia"/>
          <w:lang w:eastAsia="ja-JP"/>
        </w:rPr>
        <w:t xml:space="preserve"> of RRM </w:t>
      </w:r>
      <w:r w:rsidR="004409F6">
        <w:rPr>
          <w:rFonts w:hint="eastAsia"/>
          <w:lang w:eastAsia="ja-JP"/>
        </w:rPr>
        <w:t>core requirements are</w:t>
      </w:r>
      <w:r>
        <w:rPr>
          <w:rFonts w:hint="eastAsia"/>
          <w:lang w:eastAsia="ja-JP"/>
        </w:rPr>
        <w:t xml:space="preserve"> described as follows.</w:t>
      </w:r>
    </w:p>
    <w:tbl>
      <w:tblPr>
        <w:tblStyle w:val="afe"/>
        <w:tblW w:w="0" w:type="auto"/>
        <w:tblLook w:val="04A0" w:firstRow="1" w:lastRow="0" w:firstColumn="1" w:lastColumn="0" w:noHBand="0" w:noVBand="1"/>
      </w:tblPr>
      <w:tblGrid>
        <w:gridCol w:w="9631"/>
      </w:tblGrid>
      <w:tr w:rsidR="006E0C01" w14:paraId="6508EDF2" w14:textId="77777777" w:rsidTr="006E0C01">
        <w:tc>
          <w:tcPr>
            <w:tcW w:w="9631" w:type="dxa"/>
          </w:tcPr>
          <w:p w14:paraId="60AFBC7B" w14:textId="0F382399" w:rsidR="00A345F4" w:rsidRPr="00056858" w:rsidRDefault="00A345F4" w:rsidP="00056858">
            <w:pPr>
              <w:pStyle w:val="2"/>
              <w:rPr>
                <w:rFonts w:eastAsiaTheme="minorEastAsia"/>
              </w:rPr>
            </w:pPr>
            <w:r w:rsidRPr="00D72600">
              <w:t xml:space="preserve">RAN4 requirements for </w:t>
            </w:r>
            <w:r>
              <w:rPr>
                <w:lang w:val="en-US" w:eastAsia="ja-JP"/>
              </w:rPr>
              <w:t>measurement event prediction</w:t>
            </w:r>
          </w:p>
          <w:p w14:paraId="4A658CFB" w14:textId="4F691224" w:rsidR="00D83AF6" w:rsidRPr="00D83AF6" w:rsidRDefault="00D83AF6" w:rsidP="00D83AF6">
            <w:pPr>
              <w:snapToGrid w:val="0"/>
              <w:spacing w:after="120"/>
              <w:rPr>
                <w:rFonts w:eastAsiaTheme="minorEastAsia"/>
                <w:b/>
                <w:sz w:val="21"/>
                <w:szCs w:val="21"/>
                <w:u w:val="single"/>
                <w:lang w:val="sv-SE" w:eastAsia="ja-JP"/>
              </w:rPr>
            </w:pPr>
            <w:r w:rsidRPr="00793F12">
              <w:rPr>
                <w:b/>
                <w:sz w:val="21"/>
                <w:szCs w:val="21"/>
                <w:u w:val="single"/>
              </w:rPr>
              <w:t>Issue 3-1: Performance metric for event prediction use case</w:t>
            </w:r>
          </w:p>
          <w:p w14:paraId="34DE4E87" w14:textId="77777777" w:rsidR="00D83AF6" w:rsidRPr="003602EF" w:rsidRDefault="00D83AF6" w:rsidP="00D83AF6">
            <w:pPr>
              <w:snapToGrid w:val="0"/>
              <w:spacing w:before="100" w:beforeAutospacing="1" w:after="120"/>
              <w:rPr>
                <w:szCs w:val="21"/>
              </w:rPr>
            </w:pPr>
            <w:r w:rsidRPr="003602EF">
              <w:rPr>
                <w:szCs w:val="21"/>
              </w:rPr>
              <w:t>Agreement:</w:t>
            </w:r>
          </w:p>
          <w:p w14:paraId="786C125A" w14:textId="415FA36D" w:rsidR="00F6064D" w:rsidRPr="00D83AF6" w:rsidRDefault="00D83AF6" w:rsidP="00D83AF6">
            <w:pPr>
              <w:snapToGrid w:val="0"/>
              <w:spacing w:before="100" w:beforeAutospacing="1" w:after="120"/>
              <w:rPr>
                <w:rFonts w:eastAsia="ＭＳ 明朝"/>
                <w:b/>
                <w:bCs/>
                <w:sz w:val="22"/>
                <w:szCs w:val="24"/>
                <w:u w:val="single"/>
                <w:lang w:eastAsia="ja-JP"/>
              </w:rPr>
            </w:pPr>
            <w:r w:rsidRPr="003602EF">
              <w:rPr>
                <w:szCs w:val="21"/>
              </w:rPr>
              <w:t xml:space="preserve">In case of </w:t>
            </w:r>
            <w:bookmarkStart w:id="2" w:name="_Hlk206171180"/>
            <w:r w:rsidRPr="003602EF">
              <w:rPr>
                <w:szCs w:val="21"/>
              </w:rPr>
              <w:t>indirect measurement event prediction</w:t>
            </w:r>
            <w:bookmarkEnd w:id="2"/>
            <w:r w:rsidRPr="003602EF">
              <w:rPr>
                <w:szCs w:val="21"/>
              </w:rPr>
              <w:t xml:space="preserve"> use case, if the report includes the predicted RSRPs [corresponding to the predicted event occurrence time], RAN4 will define requirement for the absolute and/or relative accuracy of predicted RSRP.</w:t>
            </w:r>
          </w:p>
        </w:tc>
      </w:tr>
    </w:tbl>
    <w:p w14:paraId="6F171761" w14:textId="77777777" w:rsidR="006E0C01" w:rsidRDefault="006E0C01" w:rsidP="006E0C01">
      <w:pPr>
        <w:rPr>
          <w:lang w:eastAsia="ja-JP"/>
        </w:rPr>
      </w:pPr>
    </w:p>
    <w:p w14:paraId="69894156" w14:textId="6BDE4D6F" w:rsidR="004E2E54" w:rsidRDefault="0082175A" w:rsidP="004E2E54">
      <w:pPr>
        <w:jc w:val="both"/>
        <w:rPr>
          <w:lang w:eastAsia="ja-JP"/>
        </w:rPr>
      </w:pPr>
      <w:r w:rsidRPr="0082175A">
        <w:rPr>
          <w:lang w:eastAsia="ja-JP"/>
        </w:rPr>
        <w:t>From RAN2</w:t>
      </w:r>
      <w:r w:rsidR="002F6C17">
        <w:rPr>
          <w:rFonts w:hint="eastAsia"/>
          <w:lang w:eastAsia="ja-JP"/>
        </w:rPr>
        <w:t>#130</w:t>
      </w:r>
      <w:r w:rsidRPr="0082175A">
        <w:rPr>
          <w:lang w:eastAsia="ja-JP"/>
        </w:rPr>
        <w:t xml:space="preserve"> discussion, the </w:t>
      </w:r>
      <w:r w:rsidR="009B364B">
        <w:rPr>
          <w:rFonts w:hint="eastAsia"/>
          <w:lang w:eastAsia="ja-JP"/>
        </w:rPr>
        <w:t>report contents are</w:t>
      </w:r>
      <w:r w:rsidR="002F6C17">
        <w:rPr>
          <w:rFonts w:hint="eastAsia"/>
          <w:lang w:eastAsia="ja-JP"/>
        </w:rPr>
        <w:t xml:space="preserve"> summarized as follows</w:t>
      </w:r>
      <w:r w:rsidRPr="0082175A">
        <w:rPr>
          <w:lang w:eastAsia="ja-JP"/>
        </w:rPr>
        <w:t>.</w:t>
      </w:r>
    </w:p>
    <w:tbl>
      <w:tblPr>
        <w:tblStyle w:val="afe"/>
        <w:tblW w:w="0" w:type="auto"/>
        <w:tblLook w:val="04A0" w:firstRow="1" w:lastRow="0" w:firstColumn="1" w:lastColumn="0" w:noHBand="0" w:noVBand="1"/>
      </w:tblPr>
      <w:tblGrid>
        <w:gridCol w:w="9631"/>
      </w:tblGrid>
      <w:tr w:rsidR="004E2E54" w:rsidRPr="0090383F" w14:paraId="02394142" w14:textId="77777777" w:rsidTr="00A54DC8">
        <w:tc>
          <w:tcPr>
            <w:tcW w:w="9631" w:type="dxa"/>
          </w:tcPr>
          <w:p w14:paraId="069E361E" w14:textId="77777777" w:rsidR="00A31A4B" w:rsidRPr="00B13047" w:rsidRDefault="00A31A4B" w:rsidP="00A31A4B">
            <w:pPr>
              <w:pStyle w:val="2"/>
              <w:rPr>
                <w:rFonts w:ascii="Times New Roman" w:eastAsiaTheme="minorEastAsia" w:hAnsi="Times New Roman"/>
                <w:b/>
                <w:bCs/>
                <w:sz w:val="20"/>
                <w:lang w:eastAsia="ja-JP"/>
              </w:rPr>
            </w:pPr>
            <w:r w:rsidRPr="00B13047">
              <w:rPr>
                <w:rFonts w:ascii="Times New Roman" w:hAnsi="Times New Roman"/>
                <w:b/>
                <w:bCs/>
                <w:sz w:val="20"/>
              </w:rPr>
              <w:lastRenderedPageBreak/>
              <w:t xml:space="preserve">Agreements </w:t>
            </w:r>
          </w:p>
          <w:p w14:paraId="4012DE40" w14:textId="01DB5038" w:rsidR="0090383F" w:rsidRPr="00330813" w:rsidRDefault="00330813" w:rsidP="0090383F">
            <w:pPr>
              <w:rPr>
                <w:rFonts w:eastAsiaTheme="minorEastAsia"/>
                <w:b/>
                <w:bCs/>
                <w:lang w:eastAsia="ja-JP"/>
              </w:rPr>
            </w:pPr>
            <w:r w:rsidRPr="00330813">
              <w:rPr>
                <w:rFonts w:eastAsiaTheme="minorEastAsia"/>
                <w:b/>
                <w:bCs/>
                <w:lang w:eastAsia="ja-JP"/>
              </w:rPr>
              <w:t>Configuration and report of inference input to network sided model</w:t>
            </w:r>
          </w:p>
          <w:p w14:paraId="7E8ED16B" w14:textId="3B30BC2A" w:rsidR="00A31A4B" w:rsidRPr="0090383F" w:rsidRDefault="00A31A4B" w:rsidP="00330813">
            <w:pPr>
              <w:pStyle w:val="2"/>
              <w:numPr>
                <w:ilvl w:val="0"/>
                <w:numId w:val="51"/>
              </w:numPr>
              <w:rPr>
                <w:rFonts w:ascii="Times New Roman" w:hAnsi="Times New Roman"/>
                <w:sz w:val="20"/>
              </w:rPr>
            </w:pPr>
            <w:r w:rsidRPr="0090383F">
              <w:rPr>
                <w:rFonts w:ascii="Times New Roman" w:hAnsi="Times New Roman"/>
                <w:sz w:val="20"/>
              </w:rPr>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257CF6E7" w14:textId="440EADCB" w:rsidR="004E2E54" w:rsidRPr="00330813" w:rsidRDefault="00A31A4B" w:rsidP="00330813">
            <w:pPr>
              <w:pStyle w:val="afc"/>
              <w:numPr>
                <w:ilvl w:val="0"/>
                <w:numId w:val="51"/>
              </w:numPr>
              <w:snapToGrid w:val="0"/>
              <w:spacing w:before="100" w:beforeAutospacing="1" w:after="120"/>
              <w:rPr>
                <w:rFonts w:eastAsiaTheme="minorEastAsia"/>
                <w:lang w:eastAsia="ja-JP"/>
              </w:rPr>
            </w:pPr>
            <w:r w:rsidRPr="00330813">
              <w:t>To support cell/beam level prediction, one enhancements is to report RRM measurement results per cell at multiple time instances in one measurement report for NW-sided model.</w:t>
            </w:r>
          </w:p>
          <w:p w14:paraId="2C9975CF" w14:textId="77777777" w:rsidR="00330813" w:rsidRDefault="00330813" w:rsidP="0090383F">
            <w:pPr>
              <w:pStyle w:val="Doc-text2"/>
              <w:ind w:left="363"/>
              <w:rPr>
                <w:rFonts w:ascii="Times New Roman" w:hAnsi="Times New Roman" w:cs="Times New Roman"/>
                <w:sz w:val="20"/>
                <w:szCs w:val="20"/>
              </w:rPr>
            </w:pPr>
          </w:p>
          <w:p w14:paraId="1746D932" w14:textId="32BB7A49" w:rsidR="00330813" w:rsidRPr="00B13047" w:rsidRDefault="00B13047" w:rsidP="0090383F">
            <w:pPr>
              <w:pStyle w:val="Doc-text2"/>
              <w:ind w:left="363"/>
              <w:rPr>
                <w:rFonts w:ascii="Times New Roman" w:hAnsi="Times New Roman" w:cs="Times New Roman"/>
                <w:b/>
                <w:bCs/>
                <w:sz w:val="20"/>
                <w:szCs w:val="20"/>
              </w:rPr>
            </w:pPr>
            <w:r w:rsidRPr="00B13047">
              <w:rPr>
                <w:rFonts w:ascii="Times New Roman" w:hAnsi="Times New Roman" w:cs="Times New Roman"/>
                <w:b/>
                <w:bCs/>
                <w:sz w:val="20"/>
                <w:szCs w:val="20"/>
              </w:rPr>
              <w:t>Data collection</w:t>
            </w:r>
          </w:p>
          <w:p w14:paraId="62C00B90" w14:textId="16495B78" w:rsidR="0090383F" w:rsidRPr="0090383F" w:rsidRDefault="0090383F" w:rsidP="0090383F">
            <w:pPr>
              <w:pStyle w:val="Doc-text2"/>
              <w:ind w:left="363"/>
              <w:rPr>
                <w:rFonts w:ascii="Times New Roman" w:hAnsi="Times New Roman" w:cs="Times New Roman"/>
                <w:sz w:val="20"/>
                <w:szCs w:val="20"/>
              </w:rPr>
            </w:pPr>
            <w:r w:rsidRPr="0090383F">
              <w:rPr>
                <w:rFonts w:ascii="Times New Roman" w:hAnsi="Times New Roman" w:cs="Times New Roman"/>
                <w:sz w:val="20"/>
                <w:szCs w:val="20"/>
              </w:rPr>
              <w:t>For the collection of data for the training of a network-sided model for RRM measurement prediction:</w:t>
            </w:r>
          </w:p>
          <w:p w14:paraId="7C887ADC"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UE can be configured to log, at a certain logging periodicity, one or more of the following:</w:t>
            </w:r>
          </w:p>
          <w:p w14:paraId="1ADE4B2D"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 xml:space="preserve">L3 cell level measurements, </w:t>
            </w:r>
          </w:p>
          <w:p w14:paraId="5CF6BD8F"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L3 beam level measurements,</w:t>
            </w:r>
          </w:p>
          <w:p w14:paraId="00D30A58"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L1-filtered beam level measurements (if sub-case 1 and 3 is supported)</w:t>
            </w:r>
          </w:p>
          <w:p w14:paraId="3B407AF5"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Cell ID (FFS CGI of serving cell.  If CGI is unavailable, or for neighboring cells the UE logs PCI-ARFCN as a fallback)</w:t>
            </w:r>
          </w:p>
          <w:p w14:paraId="33B9CA32"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 xml:space="preserve">Time info (if as agreed by AI/ML and/or if needed) </w:t>
            </w:r>
          </w:p>
          <w:p w14:paraId="798EA026"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The UE configuration is provided via the RRM measurement framework. Whether we reuse existing measconfig structure or we need a separate data logging configuration is for WI phase.   Required enhancements are FFS.</w:t>
            </w:r>
          </w:p>
          <w:p w14:paraId="6FA2D6A6"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 xml:space="preserve">The UE can be configured with a L3 event for determining when logging is to be performed. When the event conditions are fulfilled, it performs the logging with the logging periodicity.   </w:t>
            </w:r>
          </w:p>
          <w:p w14:paraId="5511A074"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The UE sends availability indication of collected logged data via UAI or RRCReconfigurationComplete message for HO case.</w:t>
            </w:r>
          </w:p>
          <w:p w14:paraId="20456F9D"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The availability indication can be triggered due to:</w:t>
            </w:r>
          </w:p>
          <w:p w14:paraId="22D79BF9"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full buffer being reached (if configured), (FFS if buffer is per use case)</w:t>
            </w:r>
          </w:p>
          <w:p w14:paraId="4487734D"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buffer threshold being reached (if configured), or (FFS if buffer is per use case)</w:t>
            </w:r>
          </w:p>
          <w:p w14:paraId="1B5F34A1"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low power (if configured)</w:t>
            </w:r>
          </w:p>
          <w:p w14:paraId="2E72CE4B"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Upon sending the availability indication, UE indicates:</w:t>
            </w:r>
          </w:p>
          <w:p w14:paraId="0560E9DE"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Data is available</w:t>
            </w:r>
          </w:p>
          <w:p w14:paraId="71F89C39"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Reason for the triggering of the availability indication (full buffer. Threshold)</w:t>
            </w:r>
          </w:p>
          <w:p w14:paraId="698E27D9" w14:textId="77777777" w:rsidR="0090383F" w:rsidRPr="0090383F" w:rsidRDefault="0090383F" w:rsidP="0090383F">
            <w:pPr>
              <w:pStyle w:val="Doc-text2"/>
              <w:widowControl/>
              <w:numPr>
                <w:ilvl w:val="0"/>
                <w:numId w:val="49"/>
              </w:numPr>
              <w:ind w:left="1080"/>
              <w:jc w:val="left"/>
              <w:rPr>
                <w:rFonts w:ascii="Times New Roman" w:hAnsi="Times New Roman" w:cs="Times New Roman"/>
                <w:sz w:val="20"/>
                <w:szCs w:val="20"/>
              </w:rPr>
            </w:pPr>
            <w:r w:rsidRPr="0090383F">
              <w:rPr>
                <w:rFonts w:ascii="Times New Roman" w:hAnsi="Times New Roman" w:cs="Times New Roman"/>
                <w:sz w:val="20"/>
                <w:szCs w:val="20"/>
              </w:rPr>
              <w:t>Low power indication</w:t>
            </w:r>
          </w:p>
          <w:p w14:paraId="0D9B9477"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The UE sends the collected data upon explicit/on-demand request from the network (using UEInformationRequest/Response signaling)</w:t>
            </w:r>
          </w:p>
          <w:p w14:paraId="249B4A89"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The UE keeps the collected data upon HO, unless explicitly indicated to release it by the network (e.g., during HO).</w:t>
            </w:r>
          </w:p>
          <w:p w14:paraId="7487312C"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The UE releases the collected data upon transitioning to IDLE/INACTIVE</w:t>
            </w:r>
          </w:p>
          <w:p w14:paraId="01766929" w14:textId="77777777" w:rsidR="0090383F" w:rsidRPr="0090383F" w:rsidRDefault="0090383F" w:rsidP="0090383F">
            <w:pPr>
              <w:pStyle w:val="Doc-text2"/>
              <w:widowControl/>
              <w:numPr>
                <w:ilvl w:val="0"/>
                <w:numId w:val="50"/>
              </w:numPr>
              <w:ind w:left="720"/>
              <w:jc w:val="left"/>
              <w:rPr>
                <w:rFonts w:ascii="Times New Roman" w:hAnsi="Times New Roman" w:cs="Times New Roman"/>
                <w:sz w:val="20"/>
                <w:szCs w:val="20"/>
              </w:rPr>
            </w:pPr>
            <w:r w:rsidRPr="0090383F">
              <w:rPr>
                <w:rFonts w:ascii="Times New Roman" w:hAnsi="Times New Roman" w:cs="Times New Roman"/>
                <w:sz w:val="20"/>
                <w:szCs w:val="20"/>
              </w:rPr>
              <w:t>For RLF case, capture in the TR that for mobility keeping the data during RLF can be beneficial.   It can be up to WI phase if this is done depending on whether a simple solution can be found</w:t>
            </w:r>
          </w:p>
          <w:p w14:paraId="6DF8F0C2" w14:textId="36AD0D42" w:rsidR="0090383F" w:rsidRPr="0090383F" w:rsidRDefault="0090383F" w:rsidP="0090383F">
            <w:pPr>
              <w:snapToGrid w:val="0"/>
              <w:spacing w:before="100" w:beforeAutospacing="1" w:after="120"/>
              <w:rPr>
                <w:rFonts w:ascii="Times New Roman" w:eastAsiaTheme="minorEastAsia" w:hAnsi="Times New Roman"/>
                <w:b/>
                <w:bCs/>
                <w:u w:val="single"/>
                <w:lang w:val="en-US" w:eastAsia="ja-JP"/>
              </w:rPr>
            </w:pPr>
            <w:r w:rsidRPr="0090383F">
              <w:rPr>
                <w:rFonts w:ascii="Times New Roman" w:hAnsi="Times New Roman"/>
              </w:rPr>
              <w:t>For UE sided data collection – use AI/ML PHY request/configuration framework as baseline.  FFS enhancements/or differences</w:t>
            </w:r>
          </w:p>
        </w:tc>
      </w:tr>
    </w:tbl>
    <w:p w14:paraId="44E4E400" w14:textId="77777777" w:rsidR="003602EF" w:rsidRDefault="003602EF" w:rsidP="00721B27">
      <w:pPr>
        <w:jc w:val="both"/>
        <w:rPr>
          <w:lang w:eastAsia="ja-JP"/>
        </w:rPr>
      </w:pPr>
    </w:p>
    <w:p w14:paraId="5AB2A882" w14:textId="67D92860" w:rsidR="00B13047" w:rsidRDefault="00B37213" w:rsidP="00721B27">
      <w:pPr>
        <w:jc w:val="both"/>
        <w:rPr>
          <w:lang w:eastAsia="ja-JP"/>
        </w:rPr>
      </w:pPr>
      <w:r w:rsidRPr="00B37213">
        <w:rPr>
          <w:lang w:eastAsia="ja-JP"/>
        </w:rPr>
        <w:t xml:space="preserve">There </w:t>
      </w:r>
      <w:r w:rsidR="001C2A5E" w:rsidRPr="00B37213">
        <w:rPr>
          <w:lang w:eastAsia="ja-JP"/>
        </w:rPr>
        <w:t>was</w:t>
      </w:r>
      <w:r w:rsidRPr="00B37213">
        <w:rPr>
          <w:lang w:eastAsia="ja-JP"/>
        </w:rPr>
        <w:t xml:space="preserve"> no </w:t>
      </w:r>
      <w:r w:rsidR="00F2169C">
        <w:rPr>
          <w:rFonts w:hint="eastAsia"/>
          <w:lang w:eastAsia="ja-JP"/>
        </w:rPr>
        <w:t>report content</w:t>
      </w:r>
      <w:r w:rsidRPr="00B37213">
        <w:rPr>
          <w:lang w:eastAsia="ja-JP"/>
        </w:rPr>
        <w:t xml:space="preserve"> related to </w:t>
      </w:r>
      <w:r w:rsidR="00F2169C" w:rsidRPr="00F2169C">
        <w:rPr>
          <w:lang w:eastAsia="ja-JP"/>
        </w:rPr>
        <w:t>indirect measurement event prediction</w:t>
      </w:r>
      <w:r w:rsidR="00F2169C">
        <w:rPr>
          <w:rFonts w:hint="eastAsia"/>
          <w:lang w:eastAsia="ja-JP"/>
        </w:rPr>
        <w:t>s</w:t>
      </w:r>
      <w:r w:rsidRPr="00B37213">
        <w:rPr>
          <w:lang w:eastAsia="ja-JP"/>
        </w:rPr>
        <w:t xml:space="preserve"> in the agreement on the reports from RAN2</w:t>
      </w:r>
      <w:r w:rsidR="00463853">
        <w:rPr>
          <w:rFonts w:hint="eastAsia"/>
          <w:lang w:eastAsia="ja-JP"/>
        </w:rPr>
        <w:t>#130</w:t>
      </w:r>
      <w:r w:rsidRPr="00B37213">
        <w:rPr>
          <w:lang w:eastAsia="ja-JP"/>
        </w:rPr>
        <w:t>.</w:t>
      </w:r>
      <w:r w:rsidR="00463853">
        <w:rPr>
          <w:rFonts w:hint="eastAsia"/>
          <w:lang w:eastAsia="ja-JP"/>
        </w:rPr>
        <w:t xml:space="preserve"> Thus, RAN4 don</w:t>
      </w:r>
      <w:r w:rsidR="00463853">
        <w:rPr>
          <w:lang w:eastAsia="ja-JP"/>
        </w:rPr>
        <w:t>’</w:t>
      </w:r>
      <w:r w:rsidR="00463853">
        <w:rPr>
          <w:rFonts w:hint="eastAsia"/>
          <w:lang w:eastAsia="ja-JP"/>
        </w:rPr>
        <w:t xml:space="preserve">t need to specify </w:t>
      </w:r>
      <w:r w:rsidR="007D7E56">
        <w:rPr>
          <w:rFonts w:hint="eastAsia"/>
          <w:lang w:eastAsia="ja-JP"/>
        </w:rPr>
        <w:t xml:space="preserve">additional </w:t>
      </w:r>
      <w:r w:rsidR="001C2A5E">
        <w:rPr>
          <w:rFonts w:hint="eastAsia"/>
          <w:lang w:eastAsia="ja-JP"/>
        </w:rPr>
        <w:t xml:space="preserve">requirements on </w:t>
      </w:r>
      <w:r w:rsidR="007D7E56" w:rsidRPr="003602EF">
        <w:rPr>
          <w:szCs w:val="21"/>
        </w:rPr>
        <w:t>relative accuracy of predicted RSRP</w:t>
      </w:r>
      <w:r w:rsidR="007D7E56" w:rsidRPr="007D7E56">
        <w:rPr>
          <w:lang w:eastAsia="ja-JP"/>
        </w:rPr>
        <w:t xml:space="preserve"> for measurement event prediction</w:t>
      </w:r>
      <w:r w:rsidR="001C2A5E">
        <w:rPr>
          <w:rFonts w:hint="eastAsia"/>
          <w:lang w:eastAsia="ja-JP"/>
        </w:rPr>
        <w:t>.</w:t>
      </w:r>
    </w:p>
    <w:p w14:paraId="1086BFE4" w14:textId="14A30F59" w:rsidR="001C2A5E" w:rsidRPr="005D1208" w:rsidRDefault="009C7C6E" w:rsidP="00721B27">
      <w:pPr>
        <w:jc w:val="both"/>
        <w:rPr>
          <w:b/>
          <w:bCs/>
          <w:lang w:eastAsia="ja-JP"/>
        </w:rPr>
      </w:pPr>
      <w:r w:rsidRPr="005D1208">
        <w:rPr>
          <w:rFonts w:hint="eastAsia"/>
          <w:b/>
          <w:bCs/>
          <w:lang w:eastAsia="ja-JP"/>
        </w:rPr>
        <w:t xml:space="preserve">Observation 1: </w:t>
      </w:r>
      <w:r w:rsidR="005D1208" w:rsidRPr="005D1208">
        <w:rPr>
          <w:rFonts w:hint="eastAsia"/>
          <w:b/>
          <w:bCs/>
          <w:lang w:eastAsia="ja-JP"/>
        </w:rPr>
        <w:t>T</w:t>
      </w:r>
      <w:r w:rsidRPr="005D1208">
        <w:rPr>
          <w:b/>
          <w:bCs/>
          <w:lang w:eastAsia="ja-JP"/>
        </w:rPr>
        <w:t xml:space="preserve">he report </w:t>
      </w:r>
      <w:r w:rsidR="005D1208" w:rsidRPr="005D1208">
        <w:rPr>
          <w:b/>
          <w:bCs/>
          <w:lang w:eastAsia="ja-JP"/>
        </w:rPr>
        <w:t>doesn’t</w:t>
      </w:r>
      <w:r w:rsidR="005D1208" w:rsidRPr="005D1208">
        <w:rPr>
          <w:rFonts w:hint="eastAsia"/>
          <w:b/>
          <w:bCs/>
          <w:lang w:eastAsia="ja-JP"/>
        </w:rPr>
        <w:t xml:space="preserve"> </w:t>
      </w:r>
      <w:r w:rsidRPr="005D1208">
        <w:rPr>
          <w:b/>
          <w:bCs/>
          <w:lang w:eastAsia="ja-JP"/>
        </w:rPr>
        <w:t>include the predicted RSRPs</w:t>
      </w:r>
      <w:r w:rsidR="005D1208" w:rsidRPr="005D1208">
        <w:rPr>
          <w:rFonts w:hint="eastAsia"/>
          <w:b/>
          <w:bCs/>
          <w:lang w:eastAsia="ja-JP"/>
        </w:rPr>
        <w:t xml:space="preserve"> i</w:t>
      </w:r>
      <w:r w:rsidR="005D1208" w:rsidRPr="005D1208">
        <w:rPr>
          <w:b/>
          <w:bCs/>
          <w:lang w:eastAsia="ja-JP"/>
        </w:rPr>
        <w:t>n case of indirect measurement event prediction use case</w:t>
      </w:r>
      <w:r w:rsidR="005D1208" w:rsidRPr="005D1208">
        <w:rPr>
          <w:rFonts w:hint="eastAsia"/>
          <w:b/>
          <w:bCs/>
          <w:lang w:eastAsia="ja-JP"/>
        </w:rPr>
        <w:t>.</w:t>
      </w:r>
    </w:p>
    <w:p w14:paraId="6878EFFB" w14:textId="0F5D24FC" w:rsidR="009C7C6E" w:rsidRPr="005D1208" w:rsidRDefault="009C7C6E" w:rsidP="00721B27">
      <w:pPr>
        <w:jc w:val="both"/>
        <w:rPr>
          <w:b/>
          <w:bCs/>
          <w:lang w:eastAsia="ja-JP"/>
        </w:rPr>
      </w:pPr>
      <w:r w:rsidRPr="005D1208">
        <w:rPr>
          <w:rFonts w:hint="eastAsia"/>
          <w:b/>
          <w:bCs/>
          <w:lang w:eastAsia="ja-JP"/>
        </w:rPr>
        <w:t xml:space="preserve">Proposal 1: </w:t>
      </w:r>
      <w:r w:rsidR="005D1208" w:rsidRPr="005D1208">
        <w:rPr>
          <w:rFonts w:hint="eastAsia"/>
          <w:b/>
          <w:bCs/>
          <w:lang w:eastAsia="ja-JP"/>
        </w:rPr>
        <w:t xml:space="preserve">No need to specify additional requirements on </w:t>
      </w:r>
      <w:r w:rsidR="005D1208" w:rsidRPr="005D1208">
        <w:rPr>
          <w:b/>
          <w:bCs/>
          <w:szCs w:val="21"/>
        </w:rPr>
        <w:t>relative accuracy of predicted RSRP</w:t>
      </w:r>
      <w:r w:rsidR="005D1208" w:rsidRPr="005D1208">
        <w:rPr>
          <w:b/>
          <w:bCs/>
          <w:lang w:eastAsia="ja-JP"/>
        </w:rPr>
        <w:t xml:space="preserve"> for measurement event prediction</w:t>
      </w:r>
      <w:r w:rsidR="005D1208" w:rsidRPr="005D1208">
        <w:rPr>
          <w:rFonts w:hint="eastAsia"/>
          <w:b/>
          <w:bCs/>
          <w:lang w:eastAsia="ja-JP"/>
        </w:rPr>
        <w:t>.</w:t>
      </w:r>
    </w:p>
    <w:p w14:paraId="3414459C" w14:textId="77777777" w:rsidR="001C2A5E" w:rsidRPr="004E2E54" w:rsidRDefault="001C2A5E" w:rsidP="00721B27">
      <w:pPr>
        <w:jc w:val="both"/>
        <w:rPr>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37174B94" w:rsidR="003B38DD" w:rsidRDefault="003B38DD" w:rsidP="007309B7">
      <w:pPr>
        <w:spacing w:afterLines="50" w:after="120"/>
        <w:jc w:val="both"/>
        <w:rPr>
          <w:lang w:eastAsia="ja-JP"/>
        </w:rPr>
      </w:pPr>
      <w:r>
        <w:rPr>
          <w:lang w:eastAsia="ja-JP"/>
        </w:rPr>
        <w:t xml:space="preserve">In this contribution, we </w:t>
      </w:r>
      <w:r w:rsidR="00543F50">
        <w:rPr>
          <w:lang w:eastAsia="ja-JP"/>
        </w:rPr>
        <w:t xml:space="preserve">propose </w:t>
      </w:r>
      <w:r w:rsidR="002C3C68">
        <w:rPr>
          <w:rFonts w:hint="eastAsia"/>
          <w:lang w:eastAsia="ja-JP"/>
        </w:rPr>
        <w:t>RRM requirements for this WI as follows.</w:t>
      </w:r>
    </w:p>
    <w:p w14:paraId="4DD7B29F" w14:textId="77777777" w:rsidR="005D1208" w:rsidRPr="005D1208" w:rsidRDefault="005D1208" w:rsidP="005D1208">
      <w:pPr>
        <w:jc w:val="both"/>
        <w:rPr>
          <w:b/>
          <w:bCs/>
          <w:lang w:eastAsia="ja-JP"/>
        </w:rPr>
      </w:pPr>
      <w:r w:rsidRPr="005D1208">
        <w:rPr>
          <w:rFonts w:hint="eastAsia"/>
          <w:b/>
          <w:bCs/>
          <w:lang w:eastAsia="ja-JP"/>
        </w:rPr>
        <w:t>Observation 1: T</w:t>
      </w:r>
      <w:r w:rsidRPr="005D1208">
        <w:rPr>
          <w:b/>
          <w:bCs/>
          <w:lang w:eastAsia="ja-JP"/>
        </w:rPr>
        <w:t>he report doesn’t</w:t>
      </w:r>
      <w:r w:rsidRPr="005D1208">
        <w:rPr>
          <w:rFonts w:hint="eastAsia"/>
          <w:b/>
          <w:bCs/>
          <w:lang w:eastAsia="ja-JP"/>
        </w:rPr>
        <w:t xml:space="preserve"> </w:t>
      </w:r>
      <w:r w:rsidRPr="005D1208">
        <w:rPr>
          <w:b/>
          <w:bCs/>
          <w:lang w:eastAsia="ja-JP"/>
        </w:rPr>
        <w:t>include the predicted RSRPs</w:t>
      </w:r>
      <w:r w:rsidRPr="005D1208">
        <w:rPr>
          <w:rFonts w:hint="eastAsia"/>
          <w:b/>
          <w:bCs/>
          <w:lang w:eastAsia="ja-JP"/>
        </w:rPr>
        <w:t xml:space="preserve"> i</w:t>
      </w:r>
      <w:r w:rsidRPr="005D1208">
        <w:rPr>
          <w:b/>
          <w:bCs/>
          <w:lang w:eastAsia="ja-JP"/>
        </w:rPr>
        <w:t>n case of indirect measurement event prediction use case</w:t>
      </w:r>
      <w:r w:rsidRPr="005D1208">
        <w:rPr>
          <w:rFonts w:hint="eastAsia"/>
          <w:b/>
          <w:bCs/>
          <w:lang w:eastAsia="ja-JP"/>
        </w:rPr>
        <w:t>.</w:t>
      </w:r>
    </w:p>
    <w:p w14:paraId="7CAB2C84" w14:textId="2CEC4CD6" w:rsidR="005D1208" w:rsidRPr="005D1208" w:rsidRDefault="005D1208" w:rsidP="005D1208">
      <w:pPr>
        <w:jc w:val="both"/>
        <w:rPr>
          <w:b/>
          <w:bCs/>
          <w:lang w:eastAsia="ja-JP"/>
        </w:rPr>
      </w:pPr>
      <w:r w:rsidRPr="005D1208">
        <w:rPr>
          <w:rFonts w:hint="eastAsia"/>
          <w:b/>
          <w:bCs/>
          <w:lang w:eastAsia="ja-JP"/>
        </w:rPr>
        <w:t xml:space="preserve">Proposal 1: No need to specify additional requirements on </w:t>
      </w:r>
      <w:r w:rsidRPr="005D1208">
        <w:rPr>
          <w:b/>
          <w:bCs/>
          <w:szCs w:val="21"/>
        </w:rPr>
        <w:t>relative accuracy of predicted RSRP</w:t>
      </w:r>
      <w:r w:rsidRPr="005D1208">
        <w:rPr>
          <w:b/>
          <w:bCs/>
          <w:lang w:eastAsia="ja-JP"/>
        </w:rPr>
        <w:t xml:space="preserve"> for measurement event prediction</w:t>
      </w:r>
      <w:r w:rsidRPr="005D1208">
        <w:rPr>
          <w:rFonts w:hint="eastAsia"/>
          <w:b/>
          <w:bCs/>
          <w:lang w:eastAsia="ja-JP"/>
        </w:rPr>
        <w:t>.</w:t>
      </w:r>
    </w:p>
    <w:p w14:paraId="03D1F503" w14:textId="47BB9E7F" w:rsidR="0018368B" w:rsidRDefault="0018368B" w:rsidP="007309B7">
      <w:pPr>
        <w:pStyle w:val="1"/>
        <w:jc w:val="both"/>
        <w:rPr>
          <w:lang w:eastAsia="ja-JP"/>
        </w:rPr>
      </w:pPr>
      <w:r w:rsidRPr="338B7BC8">
        <w:rPr>
          <w:lang w:eastAsia="ja-JP"/>
        </w:rPr>
        <w:t>References</w:t>
      </w:r>
    </w:p>
    <w:bookmarkEnd w:id="0"/>
    <w:p w14:paraId="735BE60F" w14:textId="77777777" w:rsidR="004D4729" w:rsidRDefault="004D4729" w:rsidP="004D4729">
      <w:pPr>
        <w:jc w:val="both"/>
        <w:rPr>
          <w:noProof/>
        </w:rPr>
      </w:pPr>
      <w:r>
        <w:rPr>
          <w:rFonts w:hint="eastAsia"/>
          <w:noProof/>
          <w:lang w:eastAsia="ja-JP"/>
        </w:rPr>
        <w:t xml:space="preserve">[1] </w:t>
      </w:r>
      <w:r>
        <w:rPr>
          <w:lang w:eastAsia="ja-JP"/>
        </w:rPr>
        <w:t xml:space="preserve">3GPP, </w:t>
      </w:r>
      <w:r w:rsidRPr="009C6A58">
        <w:rPr>
          <w:lang w:eastAsia="ja-JP"/>
        </w:rPr>
        <w:t>RP-242393</w:t>
      </w:r>
      <w:r>
        <w:rPr>
          <w:lang w:eastAsia="ja-JP"/>
        </w:rPr>
        <w:t>, “</w:t>
      </w:r>
      <w:r w:rsidRPr="00BF3C5C">
        <w:rPr>
          <w:noProof/>
          <w:lang w:eastAsia="ja-JP"/>
        </w:rPr>
        <w:t>Revised SID on AIML for mobility in NR</w:t>
      </w:r>
      <w:r>
        <w:rPr>
          <w:lang w:eastAsia="ja-JP"/>
        </w:rPr>
        <w:t xml:space="preserve">”, </w:t>
      </w:r>
      <w:r>
        <w:rPr>
          <w:rFonts w:hint="eastAsia"/>
          <w:noProof/>
          <w:lang w:eastAsia="ja-JP"/>
        </w:rPr>
        <w:t>OPPO</w:t>
      </w:r>
      <w:r w:rsidRPr="006E0C01">
        <w:rPr>
          <w:noProof/>
        </w:rPr>
        <w:t>.</w:t>
      </w:r>
    </w:p>
    <w:p w14:paraId="63F141A5" w14:textId="0333823A" w:rsidR="004D4729" w:rsidRPr="004D4729" w:rsidRDefault="004D4729" w:rsidP="007309B7">
      <w:pPr>
        <w:jc w:val="both"/>
        <w:rPr>
          <w:noProof/>
          <w:lang w:eastAsia="ja-JP"/>
        </w:rPr>
      </w:pPr>
      <w:r>
        <w:rPr>
          <w:rFonts w:hint="eastAsia"/>
          <w:noProof/>
          <w:lang w:eastAsia="ja-JP"/>
        </w:rPr>
        <w:t xml:space="preserve">[2] </w:t>
      </w:r>
      <w:r>
        <w:rPr>
          <w:lang w:eastAsia="ja-JP"/>
        </w:rPr>
        <w:t xml:space="preserve">3GPP, </w:t>
      </w:r>
      <w:r w:rsidRPr="00500B33">
        <w:rPr>
          <w:lang w:eastAsia="ja-JP"/>
        </w:rPr>
        <w:t>R4-250</w:t>
      </w:r>
      <w:r w:rsidR="00130D51">
        <w:rPr>
          <w:rFonts w:hint="eastAsia"/>
          <w:lang w:eastAsia="ja-JP"/>
        </w:rPr>
        <w:t>8268</w:t>
      </w:r>
      <w:r>
        <w:rPr>
          <w:lang w:eastAsia="ja-JP"/>
        </w:rPr>
        <w:t>, “</w:t>
      </w:r>
      <w:r w:rsidRPr="00207120">
        <w:rPr>
          <w:noProof/>
        </w:rPr>
        <w:t>WF on AI/ML Mobility</w:t>
      </w:r>
      <w:r>
        <w:rPr>
          <w:lang w:eastAsia="ja-JP"/>
        </w:rPr>
        <w:t xml:space="preserve">”, </w:t>
      </w:r>
      <w:r>
        <w:rPr>
          <w:rFonts w:hint="eastAsia"/>
          <w:noProof/>
          <w:lang w:eastAsia="ja-JP"/>
        </w:rPr>
        <w:t>Nokia</w:t>
      </w:r>
      <w:r w:rsidRPr="006E0C01">
        <w:rPr>
          <w:noProof/>
        </w:rPr>
        <w:t>.</w:t>
      </w:r>
    </w:p>
    <w:sectPr w:rsidR="004D4729" w:rsidRPr="004D472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E86A2" w14:textId="77777777" w:rsidR="00C156A5" w:rsidRDefault="00C156A5">
      <w:r>
        <w:separator/>
      </w:r>
    </w:p>
  </w:endnote>
  <w:endnote w:type="continuationSeparator" w:id="0">
    <w:p w14:paraId="62967FC3" w14:textId="77777777" w:rsidR="00C156A5" w:rsidRDefault="00C156A5">
      <w:r>
        <w:continuationSeparator/>
      </w:r>
    </w:p>
  </w:endnote>
  <w:endnote w:type="continuationNotice" w:id="1">
    <w:p w14:paraId="7F07CEDC" w14:textId="77777777" w:rsidR="00C156A5" w:rsidRDefault="00C15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B7E6" w14:textId="77777777" w:rsidR="00C156A5" w:rsidRDefault="00C156A5">
      <w:r>
        <w:separator/>
      </w:r>
    </w:p>
  </w:footnote>
  <w:footnote w:type="continuationSeparator" w:id="0">
    <w:p w14:paraId="366F0808" w14:textId="77777777" w:rsidR="00C156A5" w:rsidRDefault="00C156A5">
      <w:r>
        <w:continuationSeparator/>
      </w:r>
    </w:p>
  </w:footnote>
  <w:footnote w:type="continuationNotice" w:id="1">
    <w:p w14:paraId="3118CC78" w14:textId="77777777" w:rsidR="00C156A5" w:rsidRDefault="00C15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5"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D148E1"/>
    <w:multiLevelType w:val="hybridMultilevel"/>
    <w:tmpl w:val="5054018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21"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3"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7"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1"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2"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3"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45"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BA65B5D"/>
    <w:multiLevelType w:val="hybridMultilevel"/>
    <w:tmpl w:val="41A4BB58"/>
    <w:lvl w:ilvl="0" w:tplc="AB8484D8">
      <w:start w:val="1"/>
      <w:numFmt w:val="bullet"/>
      <w:lvlText w:val="-"/>
      <w:lvlJc w:val="left"/>
      <w:pPr>
        <w:ind w:left="840" w:hanging="420"/>
      </w:pPr>
      <w:rPr>
        <w:rFonts w:ascii="Times New Roman" w:eastAsia="ＭＳ 明朝" w:hAnsi="Times New Roman" w:cs="Times New Roman" w:hint="default"/>
      </w:rPr>
    </w:lvl>
    <w:lvl w:ilvl="1" w:tplc="AB8484D8">
      <w:start w:val="1"/>
      <w:numFmt w:val="bullet"/>
      <w:lvlText w:val="-"/>
      <w:lvlJc w:val="left"/>
      <w:pPr>
        <w:ind w:left="1260" w:hanging="420"/>
      </w:pPr>
      <w:rPr>
        <w:rFonts w:ascii="Times New Roman" w:eastAsia="ＭＳ 明朝"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31"/>
  </w:num>
  <w:num w:numId="2" w16cid:durableId="435560881">
    <w:abstractNumId w:val="34"/>
  </w:num>
  <w:num w:numId="3" w16cid:durableId="2083064536">
    <w:abstractNumId w:val="38"/>
  </w:num>
  <w:num w:numId="4" w16cid:durableId="879249973">
    <w:abstractNumId w:val="8"/>
  </w:num>
  <w:num w:numId="5" w16cid:durableId="279265169">
    <w:abstractNumId w:val="9"/>
  </w:num>
  <w:num w:numId="6" w16cid:durableId="1466509431">
    <w:abstractNumId w:val="15"/>
  </w:num>
  <w:num w:numId="7" w16cid:durableId="1396515414">
    <w:abstractNumId w:val="1"/>
  </w:num>
  <w:num w:numId="8" w16cid:durableId="1290165741">
    <w:abstractNumId w:val="27"/>
  </w:num>
  <w:num w:numId="9" w16cid:durableId="472451230">
    <w:abstractNumId w:val="40"/>
  </w:num>
  <w:num w:numId="10" w16cid:durableId="1503085821">
    <w:abstractNumId w:val="44"/>
  </w:num>
  <w:num w:numId="11" w16cid:durableId="411392264">
    <w:abstractNumId w:val="34"/>
  </w:num>
  <w:num w:numId="12" w16cid:durableId="283775190">
    <w:abstractNumId w:val="36"/>
  </w:num>
  <w:num w:numId="13" w16cid:durableId="15422452">
    <w:abstractNumId w:val="35"/>
  </w:num>
  <w:num w:numId="14" w16cid:durableId="823855175">
    <w:abstractNumId w:val="11"/>
  </w:num>
  <w:num w:numId="15" w16cid:durableId="2078237285">
    <w:abstractNumId w:val="26"/>
  </w:num>
  <w:num w:numId="16" w16cid:durableId="1885680779">
    <w:abstractNumId w:val="2"/>
  </w:num>
  <w:num w:numId="17" w16cid:durableId="2046101766">
    <w:abstractNumId w:val="25"/>
  </w:num>
  <w:num w:numId="18" w16cid:durableId="1778595648">
    <w:abstractNumId w:val="4"/>
  </w:num>
  <w:num w:numId="19" w16cid:durableId="809519740">
    <w:abstractNumId w:val="23"/>
  </w:num>
  <w:num w:numId="20" w16cid:durableId="1071582981">
    <w:abstractNumId w:val="29"/>
  </w:num>
  <w:num w:numId="21" w16cid:durableId="1992950407">
    <w:abstractNumId w:val="3"/>
  </w:num>
  <w:num w:numId="22" w16cid:durableId="364797358">
    <w:abstractNumId w:val="39"/>
  </w:num>
  <w:num w:numId="23" w16cid:durableId="333924589">
    <w:abstractNumId w:val="21"/>
  </w:num>
  <w:num w:numId="24" w16cid:durableId="1771196713">
    <w:abstractNumId w:val="20"/>
  </w:num>
  <w:num w:numId="25" w16cid:durableId="1303849069">
    <w:abstractNumId w:val="16"/>
  </w:num>
  <w:num w:numId="26" w16cid:durableId="564072309">
    <w:abstractNumId w:val="42"/>
  </w:num>
  <w:num w:numId="27" w16cid:durableId="1034772762">
    <w:abstractNumId w:val="30"/>
  </w:num>
  <w:num w:numId="28" w16cid:durableId="1798638833">
    <w:abstractNumId w:val="46"/>
  </w:num>
  <w:num w:numId="29" w16cid:durableId="44764531">
    <w:abstractNumId w:val="12"/>
  </w:num>
  <w:num w:numId="30" w16cid:durableId="856503361">
    <w:abstractNumId w:val="49"/>
  </w:num>
  <w:num w:numId="31" w16cid:durableId="1431504723">
    <w:abstractNumId w:val="5"/>
  </w:num>
  <w:num w:numId="32" w16cid:durableId="1071580889">
    <w:abstractNumId w:val="45"/>
  </w:num>
  <w:num w:numId="33" w16cid:durableId="1670601612">
    <w:abstractNumId w:val="32"/>
  </w:num>
  <w:num w:numId="34" w16cid:durableId="1019308265">
    <w:abstractNumId w:val="0"/>
  </w:num>
  <w:num w:numId="35" w16cid:durableId="1104375771">
    <w:abstractNumId w:val="14"/>
  </w:num>
  <w:num w:numId="36" w16cid:durableId="2011256724">
    <w:abstractNumId w:val="33"/>
  </w:num>
  <w:num w:numId="37" w16cid:durableId="1588491777">
    <w:abstractNumId w:val="13"/>
  </w:num>
  <w:num w:numId="38" w16cid:durableId="584997606">
    <w:abstractNumId w:val="37"/>
  </w:num>
  <w:num w:numId="39" w16cid:durableId="1297563810">
    <w:abstractNumId w:val="6"/>
  </w:num>
  <w:num w:numId="40" w16cid:durableId="984512343">
    <w:abstractNumId w:val="28"/>
  </w:num>
  <w:num w:numId="41" w16cid:durableId="1549534192">
    <w:abstractNumId w:val="48"/>
  </w:num>
  <w:num w:numId="42" w16cid:durableId="2012024724">
    <w:abstractNumId w:val="47"/>
  </w:num>
  <w:num w:numId="43" w16cid:durableId="1451975294">
    <w:abstractNumId w:val="18"/>
  </w:num>
  <w:num w:numId="44" w16cid:durableId="1547718586">
    <w:abstractNumId w:val="7"/>
  </w:num>
  <w:num w:numId="45" w16cid:durableId="1800301028">
    <w:abstractNumId w:val="10"/>
  </w:num>
  <w:num w:numId="46" w16cid:durableId="111020566">
    <w:abstractNumId w:val="17"/>
  </w:num>
  <w:num w:numId="47" w16cid:durableId="746541186">
    <w:abstractNumId w:val="24"/>
  </w:num>
  <w:num w:numId="48" w16cid:durableId="1353453991">
    <w:abstractNumId w:val="43"/>
  </w:num>
  <w:num w:numId="49" w16cid:durableId="1804352177">
    <w:abstractNumId w:val="22"/>
  </w:num>
  <w:num w:numId="50" w16cid:durableId="212694443">
    <w:abstractNumId w:val="41"/>
  </w:num>
  <w:num w:numId="51" w16cid:durableId="1511026930">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56858"/>
    <w:rsid w:val="000601CD"/>
    <w:rsid w:val="00060AF9"/>
    <w:rsid w:val="000612D1"/>
    <w:rsid w:val="000619C4"/>
    <w:rsid w:val="000621A8"/>
    <w:rsid w:val="00064B3E"/>
    <w:rsid w:val="00064ECC"/>
    <w:rsid w:val="00065F1C"/>
    <w:rsid w:val="00066891"/>
    <w:rsid w:val="0006768C"/>
    <w:rsid w:val="00067731"/>
    <w:rsid w:val="00071032"/>
    <w:rsid w:val="00073860"/>
    <w:rsid w:val="00075B66"/>
    <w:rsid w:val="000766B3"/>
    <w:rsid w:val="00081DB3"/>
    <w:rsid w:val="000820DA"/>
    <w:rsid w:val="00082B44"/>
    <w:rsid w:val="00083C53"/>
    <w:rsid w:val="000840C6"/>
    <w:rsid w:val="00085708"/>
    <w:rsid w:val="00085B82"/>
    <w:rsid w:val="0008670F"/>
    <w:rsid w:val="00086E6E"/>
    <w:rsid w:val="00087322"/>
    <w:rsid w:val="00087413"/>
    <w:rsid w:val="000911E4"/>
    <w:rsid w:val="0009138E"/>
    <w:rsid w:val="000913EC"/>
    <w:rsid w:val="00092925"/>
    <w:rsid w:val="00093E7E"/>
    <w:rsid w:val="00094FB9"/>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268B"/>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D51"/>
    <w:rsid w:val="00130E89"/>
    <w:rsid w:val="00132D36"/>
    <w:rsid w:val="00134CB5"/>
    <w:rsid w:val="001357DA"/>
    <w:rsid w:val="001360F6"/>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05"/>
    <w:rsid w:val="001808C7"/>
    <w:rsid w:val="00180C91"/>
    <w:rsid w:val="00181060"/>
    <w:rsid w:val="00181D66"/>
    <w:rsid w:val="00182304"/>
    <w:rsid w:val="0018368B"/>
    <w:rsid w:val="0018379B"/>
    <w:rsid w:val="00184316"/>
    <w:rsid w:val="001848A8"/>
    <w:rsid w:val="00184EFC"/>
    <w:rsid w:val="001855A1"/>
    <w:rsid w:val="0018585B"/>
    <w:rsid w:val="00186243"/>
    <w:rsid w:val="001918D7"/>
    <w:rsid w:val="00191CA1"/>
    <w:rsid w:val="00192CE3"/>
    <w:rsid w:val="00193116"/>
    <w:rsid w:val="00193718"/>
    <w:rsid w:val="00196957"/>
    <w:rsid w:val="00196B21"/>
    <w:rsid w:val="001A08AA"/>
    <w:rsid w:val="001A140B"/>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4F24"/>
    <w:rsid w:val="001B6818"/>
    <w:rsid w:val="001C1CA5"/>
    <w:rsid w:val="001C1D38"/>
    <w:rsid w:val="001C291C"/>
    <w:rsid w:val="001C2A5E"/>
    <w:rsid w:val="001C2C68"/>
    <w:rsid w:val="001C3159"/>
    <w:rsid w:val="001C3A35"/>
    <w:rsid w:val="001C4148"/>
    <w:rsid w:val="001C5DBB"/>
    <w:rsid w:val="001C5DDD"/>
    <w:rsid w:val="001C602C"/>
    <w:rsid w:val="001C605D"/>
    <w:rsid w:val="001C67B6"/>
    <w:rsid w:val="001C67F1"/>
    <w:rsid w:val="001C7645"/>
    <w:rsid w:val="001D3283"/>
    <w:rsid w:val="001D4D0B"/>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120"/>
    <w:rsid w:val="002073DA"/>
    <w:rsid w:val="00207DB7"/>
    <w:rsid w:val="002106C8"/>
    <w:rsid w:val="00211DCE"/>
    <w:rsid w:val="002121FD"/>
    <w:rsid w:val="00212328"/>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09ED"/>
    <w:rsid w:val="002B10A5"/>
    <w:rsid w:val="002B3853"/>
    <w:rsid w:val="002B4609"/>
    <w:rsid w:val="002B5A28"/>
    <w:rsid w:val="002B5B16"/>
    <w:rsid w:val="002B5C26"/>
    <w:rsid w:val="002C0876"/>
    <w:rsid w:val="002C0B4E"/>
    <w:rsid w:val="002C1961"/>
    <w:rsid w:val="002C1FC4"/>
    <w:rsid w:val="002C2C7C"/>
    <w:rsid w:val="002C2CCB"/>
    <w:rsid w:val="002C36AF"/>
    <w:rsid w:val="002C3C68"/>
    <w:rsid w:val="002C4696"/>
    <w:rsid w:val="002C5C61"/>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2558"/>
    <w:rsid w:val="002E44CF"/>
    <w:rsid w:val="002E45EC"/>
    <w:rsid w:val="002E4C55"/>
    <w:rsid w:val="002E775B"/>
    <w:rsid w:val="002F1EF5"/>
    <w:rsid w:val="002F38FC"/>
    <w:rsid w:val="002F4093"/>
    <w:rsid w:val="002F478F"/>
    <w:rsid w:val="002F6C17"/>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0813"/>
    <w:rsid w:val="00330ABD"/>
    <w:rsid w:val="003313BF"/>
    <w:rsid w:val="00331476"/>
    <w:rsid w:val="00332112"/>
    <w:rsid w:val="00332442"/>
    <w:rsid w:val="00332987"/>
    <w:rsid w:val="00332DD7"/>
    <w:rsid w:val="0033410D"/>
    <w:rsid w:val="0033495C"/>
    <w:rsid w:val="00335323"/>
    <w:rsid w:val="00341E05"/>
    <w:rsid w:val="00341EE1"/>
    <w:rsid w:val="003428CB"/>
    <w:rsid w:val="003449E6"/>
    <w:rsid w:val="003466ED"/>
    <w:rsid w:val="00350140"/>
    <w:rsid w:val="0035177D"/>
    <w:rsid w:val="003543FA"/>
    <w:rsid w:val="00354696"/>
    <w:rsid w:val="00355078"/>
    <w:rsid w:val="00356B37"/>
    <w:rsid w:val="00357342"/>
    <w:rsid w:val="003576CD"/>
    <w:rsid w:val="003602EF"/>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5B33"/>
    <w:rsid w:val="003D6B1A"/>
    <w:rsid w:val="003D77B1"/>
    <w:rsid w:val="003E1394"/>
    <w:rsid w:val="003E2BDE"/>
    <w:rsid w:val="003E2DBC"/>
    <w:rsid w:val="003E3A7C"/>
    <w:rsid w:val="003E4603"/>
    <w:rsid w:val="003E5444"/>
    <w:rsid w:val="003E604E"/>
    <w:rsid w:val="003F0276"/>
    <w:rsid w:val="003F038E"/>
    <w:rsid w:val="003F1CE2"/>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998"/>
    <w:rsid w:val="00443CC6"/>
    <w:rsid w:val="00444225"/>
    <w:rsid w:val="00444B5B"/>
    <w:rsid w:val="00444D6C"/>
    <w:rsid w:val="00450EF8"/>
    <w:rsid w:val="0045200F"/>
    <w:rsid w:val="00452F74"/>
    <w:rsid w:val="00453D84"/>
    <w:rsid w:val="00453F84"/>
    <w:rsid w:val="004543ED"/>
    <w:rsid w:val="004553B1"/>
    <w:rsid w:val="004553B9"/>
    <w:rsid w:val="0045786B"/>
    <w:rsid w:val="00463853"/>
    <w:rsid w:val="0046402B"/>
    <w:rsid w:val="004645B3"/>
    <w:rsid w:val="00465F13"/>
    <w:rsid w:val="0046699D"/>
    <w:rsid w:val="00466C94"/>
    <w:rsid w:val="004677E4"/>
    <w:rsid w:val="004704E5"/>
    <w:rsid w:val="00470A74"/>
    <w:rsid w:val="004757B2"/>
    <w:rsid w:val="004759C8"/>
    <w:rsid w:val="00476254"/>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1D4"/>
    <w:rsid w:val="004D153D"/>
    <w:rsid w:val="004D1B91"/>
    <w:rsid w:val="004D1DFD"/>
    <w:rsid w:val="004D2B59"/>
    <w:rsid w:val="004D2BE8"/>
    <w:rsid w:val="004D3B52"/>
    <w:rsid w:val="004D42E8"/>
    <w:rsid w:val="004D4729"/>
    <w:rsid w:val="004D521F"/>
    <w:rsid w:val="004D6D9E"/>
    <w:rsid w:val="004D7A6A"/>
    <w:rsid w:val="004D7E24"/>
    <w:rsid w:val="004E1A1D"/>
    <w:rsid w:val="004E2E54"/>
    <w:rsid w:val="004E2E83"/>
    <w:rsid w:val="004E651A"/>
    <w:rsid w:val="004E6A7E"/>
    <w:rsid w:val="004E70AA"/>
    <w:rsid w:val="004E73B0"/>
    <w:rsid w:val="004E7629"/>
    <w:rsid w:val="004E798E"/>
    <w:rsid w:val="004F09C1"/>
    <w:rsid w:val="004F0AD1"/>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162"/>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472C"/>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208"/>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7F27"/>
    <w:rsid w:val="005F102C"/>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370D"/>
    <w:rsid w:val="006138E5"/>
    <w:rsid w:val="00614CD4"/>
    <w:rsid w:val="00615FE7"/>
    <w:rsid w:val="00616175"/>
    <w:rsid w:val="0061646C"/>
    <w:rsid w:val="006176FF"/>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58FA"/>
    <w:rsid w:val="006362FF"/>
    <w:rsid w:val="00637E68"/>
    <w:rsid w:val="00640471"/>
    <w:rsid w:val="00640F60"/>
    <w:rsid w:val="006416FA"/>
    <w:rsid w:val="00641CD2"/>
    <w:rsid w:val="00642564"/>
    <w:rsid w:val="00642ED4"/>
    <w:rsid w:val="00645857"/>
    <w:rsid w:val="00645B6F"/>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3B16"/>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035B"/>
    <w:rsid w:val="006C18EF"/>
    <w:rsid w:val="006C3095"/>
    <w:rsid w:val="006C34E8"/>
    <w:rsid w:val="006C5AA6"/>
    <w:rsid w:val="006C672B"/>
    <w:rsid w:val="006C674B"/>
    <w:rsid w:val="006C6F27"/>
    <w:rsid w:val="006C7EA4"/>
    <w:rsid w:val="006D0264"/>
    <w:rsid w:val="006D0C78"/>
    <w:rsid w:val="006D1502"/>
    <w:rsid w:val="006D1551"/>
    <w:rsid w:val="006D1755"/>
    <w:rsid w:val="006D2A0F"/>
    <w:rsid w:val="006D2C5F"/>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5898"/>
    <w:rsid w:val="006F6D8E"/>
    <w:rsid w:val="006F7AD5"/>
    <w:rsid w:val="00702E17"/>
    <w:rsid w:val="00704666"/>
    <w:rsid w:val="00705293"/>
    <w:rsid w:val="0070646B"/>
    <w:rsid w:val="007066FA"/>
    <w:rsid w:val="00706C55"/>
    <w:rsid w:val="00707941"/>
    <w:rsid w:val="00712498"/>
    <w:rsid w:val="007128E1"/>
    <w:rsid w:val="00712B9A"/>
    <w:rsid w:val="00712FE7"/>
    <w:rsid w:val="00712FE9"/>
    <w:rsid w:val="00713000"/>
    <w:rsid w:val="00713D69"/>
    <w:rsid w:val="007141ED"/>
    <w:rsid w:val="00714E7C"/>
    <w:rsid w:val="00715BCC"/>
    <w:rsid w:val="00716E9F"/>
    <w:rsid w:val="00720840"/>
    <w:rsid w:val="00721B27"/>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F21"/>
    <w:rsid w:val="00737F82"/>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281"/>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6BC"/>
    <w:rsid w:val="007B3B93"/>
    <w:rsid w:val="007B3BB5"/>
    <w:rsid w:val="007B505C"/>
    <w:rsid w:val="007B63C6"/>
    <w:rsid w:val="007B7166"/>
    <w:rsid w:val="007C0B20"/>
    <w:rsid w:val="007C11E3"/>
    <w:rsid w:val="007C2B61"/>
    <w:rsid w:val="007C3B6C"/>
    <w:rsid w:val="007C3C41"/>
    <w:rsid w:val="007C47C9"/>
    <w:rsid w:val="007C60AA"/>
    <w:rsid w:val="007C742F"/>
    <w:rsid w:val="007C772F"/>
    <w:rsid w:val="007D1DF5"/>
    <w:rsid w:val="007D2044"/>
    <w:rsid w:val="007D27F1"/>
    <w:rsid w:val="007D4E54"/>
    <w:rsid w:val="007D56A0"/>
    <w:rsid w:val="007D5A9E"/>
    <w:rsid w:val="007D6048"/>
    <w:rsid w:val="007D6C01"/>
    <w:rsid w:val="007D6E7D"/>
    <w:rsid w:val="007D7875"/>
    <w:rsid w:val="007D7E56"/>
    <w:rsid w:val="007E02AD"/>
    <w:rsid w:val="007E0649"/>
    <w:rsid w:val="007E1F3B"/>
    <w:rsid w:val="007E1FF2"/>
    <w:rsid w:val="007E2CA9"/>
    <w:rsid w:val="007E3266"/>
    <w:rsid w:val="007E4809"/>
    <w:rsid w:val="007E56D8"/>
    <w:rsid w:val="007E577B"/>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172"/>
    <w:rsid w:val="0081689A"/>
    <w:rsid w:val="0082175A"/>
    <w:rsid w:val="00821877"/>
    <w:rsid w:val="00821FE2"/>
    <w:rsid w:val="0082247A"/>
    <w:rsid w:val="008240E1"/>
    <w:rsid w:val="00825815"/>
    <w:rsid w:val="0082583A"/>
    <w:rsid w:val="00826532"/>
    <w:rsid w:val="0082761A"/>
    <w:rsid w:val="0083000A"/>
    <w:rsid w:val="00831374"/>
    <w:rsid w:val="008322D6"/>
    <w:rsid w:val="00832C69"/>
    <w:rsid w:val="00833897"/>
    <w:rsid w:val="0083389F"/>
    <w:rsid w:val="00835C3C"/>
    <w:rsid w:val="00835C88"/>
    <w:rsid w:val="00835EAB"/>
    <w:rsid w:val="008365F9"/>
    <w:rsid w:val="00836C44"/>
    <w:rsid w:val="00837B87"/>
    <w:rsid w:val="0084054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308"/>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0DF"/>
    <w:rsid w:val="008C198A"/>
    <w:rsid w:val="008C4207"/>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41EF"/>
    <w:rsid w:val="008F616D"/>
    <w:rsid w:val="008F6413"/>
    <w:rsid w:val="008F64D1"/>
    <w:rsid w:val="008F68CF"/>
    <w:rsid w:val="008F6DE8"/>
    <w:rsid w:val="008F7D93"/>
    <w:rsid w:val="0090028C"/>
    <w:rsid w:val="00900DD6"/>
    <w:rsid w:val="009023FF"/>
    <w:rsid w:val="00902528"/>
    <w:rsid w:val="00903127"/>
    <w:rsid w:val="0090383F"/>
    <w:rsid w:val="00904C88"/>
    <w:rsid w:val="00904F91"/>
    <w:rsid w:val="009050A8"/>
    <w:rsid w:val="0090547F"/>
    <w:rsid w:val="00906173"/>
    <w:rsid w:val="00906356"/>
    <w:rsid w:val="00906895"/>
    <w:rsid w:val="0090773A"/>
    <w:rsid w:val="00907B52"/>
    <w:rsid w:val="00907CA7"/>
    <w:rsid w:val="009100AC"/>
    <w:rsid w:val="009112A9"/>
    <w:rsid w:val="0091173F"/>
    <w:rsid w:val="00912016"/>
    <w:rsid w:val="009147F7"/>
    <w:rsid w:val="00915ABD"/>
    <w:rsid w:val="0092182B"/>
    <w:rsid w:val="00922EBD"/>
    <w:rsid w:val="00927141"/>
    <w:rsid w:val="00930C81"/>
    <w:rsid w:val="00930D32"/>
    <w:rsid w:val="00931377"/>
    <w:rsid w:val="00931702"/>
    <w:rsid w:val="00931937"/>
    <w:rsid w:val="0093263A"/>
    <w:rsid w:val="00932EA8"/>
    <w:rsid w:val="0093304F"/>
    <w:rsid w:val="00933D69"/>
    <w:rsid w:val="00933FA4"/>
    <w:rsid w:val="009340A6"/>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64B"/>
    <w:rsid w:val="009B39E0"/>
    <w:rsid w:val="009B4415"/>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C7C6E"/>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5EA9"/>
    <w:rsid w:val="009F67CE"/>
    <w:rsid w:val="009F7BFB"/>
    <w:rsid w:val="00A00CC6"/>
    <w:rsid w:val="00A01D4E"/>
    <w:rsid w:val="00A0535F"/>
    <w:rsid w:val="00A05861"/>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1A4B"/>
    <w:rsid w:val="00A32840"/>
    <w:rsid w:val="00A33FD3"/>
    <w:rsid w:val="00A345F4"/>
    <w:rsid w:val="00A34818"/>
    <w:rsid w:val="00A35A6B"/>
    <w:rsid w:val="00A35E34"/>
    <w:rsid w:val="00A35E63"/>
    <w:rsid w:val="00A36214"/>
    <w:rsid w:val="00A378F8"/>
    <w:rsid w:val="00A426D9"/>
    <w:rsid w:val="00A44EBA"/>
    <w:rsid w:val="00A450EE"/>
    <w:rsid w:val="00A46B7E"/>
    <w:rsid w:val="00A47CDB"/>
    <w:rsid w:val="00A500BD"/>
    <w:rsid w:val="00A50244"/>
    <w:rsid w:val="00A50E31"/>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3BFE"/>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047"/>
    <w:rsid w:val="00B13FA3"/>
    <w:rsid w:val="00B14456"/>
    <w:rsid w:val="00B146C0"/>
    <w:rsid w:val="00B15D95"/>
    <w:rsid w:val="00B15E24"/>
    <w:rsid w:val="00B16291"/>
    <w:rsid w:val="00B164A8"/>
    <w:rsid w:val="00B17B1B"/>
    <w:rsid w:val="00B17D14"/>
    <w:rsid w:val="00B221C6"/>
    <w:rsid w:val="00B228E3"/>
    <w:rsid w:val="00B22E92"/>
    <w:rsid w:val="00B235CF"/>
    <w:rsid w:val="00B23839"/>
    <w:rsid w:val="00B244B6"/>
    <w:rsid w:val="00B26074"/>
    <w:rsid w:val="00B260AF"/>
    <w:rsid w:val="00B26F30"/>
    <w:rsid w:val="00B277B7"/>
    <w:rsid w:val="00B30F2A"/>
    <w:rsid w:val="00B31FB5"/>
    <w:rsid w:val="00B3223D"/>
    <w:rsid w:val="00B33BBF"/>
    <w:rsid w:val="00B33E77"/>
    <w:rsid w:val="00B34988"/>
    <w:rsid w:val="00B35431"/>
    <w:rsid w:val="00B36870"/>
    <w:rsid w:val="00B3698F"/>
    <w:rsid w:val="00B37213"/>
    <w:rsid w:val="00B37377"/>
    <w:rsid w:val="00B406C1"/>
    <w:rsid w:val="00B4183C"/>
    <w:rsid w:val="00B42372"/>
    <w:rsid w:val="00B42C7A"/>
    <w:rsid w:val="00B436CB"/>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663"/>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11B4"/>
    <w:rsid w:val="00BC227A"/>
    <w:rsid w:val="00BC2DD0"/>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1A00"/>
    <w:rsid w:val="00BF28CB"/>
    <w:rsid w:val="00BF2AF1"/>
    <w:rsid w:val="00BF3030"/>
    <w:rsid w:val="00BF35CC"/>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56A5"/>
    <w:rsid w:val="00C16EAA"/>
    <w:rsid w:val="00C17339"/>
    <w:rsid w:val="00C179D8"/>
    <w:rsid w:val="00C20409"/>
    <w:rsid w:val="00C21485"/>
    <w:rsid w:val="00C224B9"/>
    <w:rsid w:val="00C22AE0"/>
    <w:rsid w:val="00C22AE6"/>
    <w:rsid w:val="00C23D2D"/>
    <w:rsid w:val="00C240C6"/>
    <w:rsid w:val="00C258A4"/>
    <w:rsid w:val="00C26212"/>
    <w:rsid w:val="00C26EEE"/>
    <w:rsid w:val="00C27994"/>
    <w:rsid w:val="00C30359"/>
    <w:rsid w:val="00C30F36"/>
    <w:rsid w:val="00C3198F"/>
    <w:rsid w:val="00C329CB"/>
    <w:rsid w:val="00C34A58"/>
    <w:rsid w:val="00C34F14"/>
    <w:rsid w:val="00C35D29"/>
    <w:rsid w:val="00C3612F"/>
    <w:rsid w:val="00C36435"/>
    <w:rsid w:val="00C411E2"/>
    <w:rsid w:val="00C415A0"/>
    <w:rsid w:val="00C415DD"/>
    <w:rsid w:val="00C42EA1"/>
    <w:rsid w:val="00C43723"/>
    <w:rsid w:val="00C47942"/>
    <w:rsid w:val="00C50078"/>
    <w:rsid w:val="00C50891"/>
    <w:rsid w:val="00C519AF"/>
    <w:rsid w:val="00C51ECB"/>
    <w:rsid w:val="00C522B6"/>
    <w:rsid w:val="00C526B3"/>
    <w:rsid w:val="00C53A1A"/>
    <w:rsid w:val="00C546CF"/>
    <w:rsid w:val="00C55884"/>
    <w:rsid w:val="00C559B5"/>
    <w:rsid w:val="00C55D53"/>
    <w:rsid w:val="00C56601"/>
    <w:rsid w:val="00C575F0"/>
    <w:rsid w:val="00C57669"/>
    <w:rsid w:val="00C578B3"/>
    <w:rsid w:val="00C57E8F"/>
    <w:rsid w:val="00C63471"/>
    <w:rsid w:val="00C64251"/>
    <w:rsid w:val="00C65B21"/>
    <w:rsid w:val="00C67450"/>
    <w:rsid w:val="00C70E7D"/>
    <w:rsid w:val="00C727D9"/>
    <w:rsid w:val="00C73658"/>
    <w:rsid w:val="00C77108"/>
    <w:rsid w:val="00C8037D"/>
    <w:rsid w:val="00C8041F"/>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3C0"/>
    <w:rsid w:val="00C955CA"/>
    <w:rsid w:val="00C96A24"/>
    <w:rsid w:val="00C97998"/>
    <w:rsid w:val="00C97B91"/>
    <w:rsid w:val="00CA253A"/>
    <w:rsid w:val="00CA3229"/>
    <w:rsid w:val="00CA32E8"/>
    <w:rsid w:val="00CA3809"/>
    <w:rsid w:val="00CA40DE"/>
    <w:rsid w:val="00CA559C"/>
    <w:rsid w:val="00CA6520"/>
    <w:rsid w:val="00CA7F88"/>
    <w:rsid w:val="00CB1793"/>
    <w:rsid w:val="00CB1D67"/>
    <w:rsid w:val="00CB1FCB"/>
    <w:rsid w:val="00CB203F"/>
    <w:rsid w:val="00CB2E29"/>
    <w:rsid w:val="00CB302C"/>
    <w:rsid w:val="00CB3271"/>
    <w:rsid w:val="00CB3746"/>
    <w:rsid w:val="00CB44BF"/>
    <w:rsid w:val="00CB561D"/>
    <w:rsid w:val="00CB62D1"/>
    <w:rsid w:val="00CB77C1"/>
    <w:rsid w:val="00CC00BA"/>
    <w:rsid w:val="00CC1478"/>
    <w:rsid w:val="00CC26C6"/>
    <w:rsid w:val="00CC2BF2"/>
    <w:rsid w:val="00CC3E77"/>
    <w:rsid w:val="00CC5EE3"/>
    <w:rsid w:val="00CC6D47"/>
    <w:rsid w:val="00CD03C9"/>
    <w:rsid w:val="00CD0651"/>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53BA"/>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59B0"/>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153F"/>
    <w:rsid w:val="00D34509"/>
    <w:rsid w:val="00D34921"/>
    <w:rsid w:val="00D34A85"/>
    <w:rsid w:val="00D34A98"/>
    <w:rsid w:val="00D34DA4"/>
    <w:rsid w:val="00D36614"/>
    <w:rsid w:val="00D3748C"/>
    <w:rsid w:val="00D37693"/>
    <w:rsid w:val="00D40266"/>
    <w:rsid w:val="00D40453"/>
    <w:rsid w:val="00D40E06"/>
    <w:rsid w:val="00D4185E"/>
    <w:rsid w:val="00D4600D"/>
    <w:rsid w:val="00D501FC"/>
    <w:rsid w:val="00D50D6E"/>
    <w:rsid w:val="00D50DBD"/>
    <w:rsid w:val="00D5192F"/>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64E"/>
    <w:rsid w:val="00D75B4A"/>
    <w:rsid w:val="00D75D35"/>
    <w:rsid w:val="00D8004F"/>
    <w:rsid w:val="00D80F86"/>
    <w:rsid w:val="00D823C9"/>
    <w:rsid w:val="00D839B8"/>
    <w:rsid w:val="00D83AAD"/>
    <w:rsid w:val="00D83AF6"/>
    <w:rsid w:val="00D83C42"/>
    <w:rsid w:val="00D83E50"/>
    <w:rsid w:val="00D84411"/>
    <w:rsid w:val="00D84467"/>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16B9"/>
    <w:rsid w:val="00DA518A"/>
    <w:rsid w:val="00DA61C7"/>
    <w:rsid w:val="00DA636F"/>
    <w:rsid w:val="00DA706D"/>
    <w:rsid w:val="00DA75CF"/>
    <w:rsid w:val="00DB0073"/>
    <w:rsid w:val="00DB0BA5"/>
    <w:rsid w:val="00DB1710"/>
    <w:rsid w:val="00DB37F6"/>
    <w:rsid w:val="00DB4DD4"/>
    <w:rsid w:val="00DB4F8B"/>
    <w:rsid w:val="00DB52CB"/>
    <w:rsid w:val="00DB6626"/>
    <w:rsid w:val="00DB6CA1"/>
    <w:rsid w:val="00DB7703"/>
    <w:rsid w:val="00DB7743"/>
    <w:rsid w:val="00DC0BE0"/>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0D5C"/>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2CA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1DBF"/>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69C"/>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2B79"/>
    <w:rsid w:val="00F835C1"/>
    <w:rsid w:val="00F8408B"/>
    <w:rsid w:val="00F84CC4"/>
    <w:rsid w:val="00F84DD8"/>
    <w:rsid w:val="00F86875"/>
    <w:rsid w:val="00F86AEB"/>
    <w:rsid w:val="00F8704F"/>
    <w:rsid w:val="00F87B0C"/>
    <w:rsid w:val="00F91F14"/>
    <w:rsid w:val="00F9248A"/>
    <w:rsid w:val="00F93382"/>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5FF6"/>
    <w:rsid w:val="00FD650F"/>
    <w:rsid w:val="00FD65B1"/>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DD3C5807-9D19-4864-9627-E1E9189A3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3426446-253b-4269-aba2-0e602b0c14c7}" removed="1"/>
</clbl:labelList>
</file>

<file path=docProps/app.xml><?xml version="1.0" encoding="utf-8"?>
<Properties xmlns="http://schemas.openxmlformats.org/officeDocument/2006/extended-properties" xmlns:vt="http://schemas.openxmlformats.org/officeDocument/2006/docPropsVTypes">
  <Template>3gpp_70.dot</Template>
  <TotalTime>554</TotalTime>
  <Pages>3</Pages>
  <Words>697</Words>
  <Characters>3978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163</cp:revision>
  <cp:lastPrinted>2017-04-28T21:57:00Z</cp:lastPrinted>
  <dcterms:created xsi:type="dcterms:W3CDTF">2024-11-07T21:25:00Z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ies>
</file>